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Аграмматическая дисграфия у обучающихся с ТНР</w:t>
            </w:r>
          </w:p>
          <w:p>
            <w:pPr>
              <w:jc w:val="center"/>
              <w:spacing w:after="0" w:line="240" w:lineRule="auto"/>
              <w:rPr>
                <w:sz w:val="32"/>
                <w:szCs w:val="32"/>
              </w:rPr>
            </w:pPr>
            <w:r>
              <w:rPr>
                <w:rFonts w:ascii="Times New Roman" w:hAnsi="Times New Roman" w:cs="Times New Roman"/>
                <w:color w:val="#000000"/>
                <w:sz w:val="32"/>
                <w:szCs w:val="32"/>
              </w:rPr>
              <w:t> К.М.04.ДВ.04.02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«Аграмматическая дисграфия у обучающихся с ТНР»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К.М.04.ДВ.04.02 «Аграмматическая дисграфия у обучающихся с ТНР».</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«Аграмматическая дисграфия у обучающихся с ТНР»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К.М.04.ДВ.04.02 «Аграмматическая дисграфия у обучающихся с ТНР»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Нарушения чтения и письма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 психолого-лингвистические предпосылки овладения письмом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Классификации и симптоматика нарушений письменной речи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логопедической работы по коррекции аграмматической дисграфии в условиях логопедического пункта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 психолого-лингвистические предпосылки овладения письмом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Классификации и симптоматика нарушений письменной речи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логопедической работы по коррекции аграмматической дисграфии в условиях логопедического пункта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 психолого-лингвистические предпосылки овладения письмом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Классификации и симптоматика нарушений письменной речи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логопедической работы по коррекции аграмматической дисграфии в условиях логопедического пункта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152.6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дисграфии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об этапах становления письменности: картинно-синтетическое, логографическое, слоговое, буквенно-звуковое письмо. Алфавиты. Старославянский алфавит (кириллица). Форма письменных знаков. Особенности букв русского алфавита. Основные современные системы письменности: на латинской основе, на славяно- кирилловской основе, на арабской консонантно-звуковой основе, на индийской слоговой основе. История изучения нарушений чтения и письма. Психофизиологические механизмы письма. Операции письма. Виды письма и его основные навыки. Значение трудов А.Р. Взгляды западноевропейских ученых конца XIX</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начала XX века на проблему нарушений письменной речи (Ф. Варбург, О. Ортон). Научное развитие проблемы нарушений письма и чтения в 30-60-х годах XX века. Вклад трудов С.С. Мнухина, Ф.А. Pay, M.E. Хватцева, P.M. Боскис, Р.Е. Левиной в развитие научных представлений о нарушениях письма и их коррекции. Лурии в изучении механизмов письма. Отличия письма от письменной речи. Письменная речь - сложнейшая форма речевой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и психолого-лингвистические предпосылки овладения письмом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 содержание процесса письма. Уровни формирования письма: психологический уровень, психофизиологический (или сенсомоторный) уровень, лингвистический уровень. Условия формирования навыков письма в норме. Основные характеристики письменной деятельности.</w:t>
            </w:r>
          </w:p>
          <w:p>
            <w:pPr>
              <w:jc w:val="both"/>
              <w:spacing w:after="0" w:line="240" w:lineRule="auto"/>
              <w:rPr>
                <w:sz w:val="24"/>
                <w:szCs w:val="24"/>
              </w:rPr>
            </w:pPr>
            <w:r>
              <w:rPr>
                <w:rFonts w:ascii="Times New Roman" w:hAnsi="Times New Roman" w:cs="Times New Roman"/>
                <w:color w:val="#000000"/>
                <w:sz w:val="24"/>
                <w:szCs w:val="24"/>
              </w:rPr>
              <w:t> Нарушения письменной речи. Роль научных исследований Р.Е. Левиной в развитии теоретических представлений о нарушениях письма у детей с речевыми нарушениями. Проблемы терминологии. Этиология и патогенез нарушений письма. Современные классификации нарушений письма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Классификации и симптоматика нарушений письменной речи у младших школьников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 письма, наследственная предрасположенность. Распад навыков письма  в результате афазии. Вторичные нарушения письма у детей. Нарушения письма литерализация сенсомоторных функций (левшество, переученное левшество, вынужденное левшество). Особенности нарушения письма у детей с нарушениями речи и умственно отсталых детей. Дисграфия при билингвизме. Клиническая и психолого- педагогическая характеристика детей с нарушениями письма.</w:t>
            </w:r>
          </w:p>
          <w:p>
            <w:pPr>
              <w:jc w:val="both"/>
              <w:spacing w:after="0" w:line="240" w:lineRule="auto"/>
              <w:rPr>
                <w:sz w:val="24"/>
                <w:szCs w:val="24"/>
              </w:rPr>
            </w:pPr>
            <w:r>
              <w:rPr>
                <w:rFonts w:ascii="Times New Roman" w:hAnsi="Times New Roman" w:cs="Times New Roman"/>
                <w:color w:val="#000000"/>
                <w:sz w:val="24"/>
                <w:szCs w:val="24"/>
              </w:rPr>
              <w:t> Нарушения памяти и нарушения письма. Нарушения зрительно-пространственной ориентировки и нарушения письма. Нарушения пространственно-временной последовательности и нарушения письма. Моторные расстройства и нарушения письма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логопедической работы по коррекции аграмматической дисграфии в условиях логопедического пункта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режимом работы и оборудованием логопедического кабинета общеобразовательной школы. Знакомство с особенностями ведения документации школьного логопедического пункта. Ознакомление с различными видами планирования коррекционной работы с детьми, имеющими нарушения чтения. Составление и заполнение речевых карт учащихся. Проведение первичного приема. Составление конспектов занятий по преодолению артикуляторно-акустической дисграфии и дисграфии на основе нарушений фонемного распознавания Особенности логопедической работы по уточнению структуры предложения, развитию функции словоизменения и словообразования, формированию морфологического анализа состава слова и однокоренных слов, по систематизации словаря, определению более прочных смысловых связей между словами, входящими в одно семантическое поле. Методы и приемы коррекции нарушений структуры предложения, функции словоизменения и словообразования, морфологического анализа состава слова и однокоренных слов, смысловых связей между словами, входящими в одно семантическое поле. Составление конспектов занятий по преодолению аграмматической дисграфии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дисграфии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за обследованием техники чтения в классе. Заполнение протоколов обследо- вания навыков чтения учащихся различных классов (1 - 4-х).</w:t>
            </w:r>
          </w:p>
          <w:p>
            <w:pPr>
              <w:jc w:val="both"/>
              <w:spacing w:after="0" w:line="240" w:lineRule="auto"/>
              <w:rPr>
                <w:sz w:val="24"/>
                <w:szCs w:val="24"/>
              </w:rPr>
            </w:pPr>
            <w:r>
              <w:rPr>
                <w:rFonts w:ascii="Times New Roman" w:hAnsi="Times New Roman" w:cs="Times New Roman"/>
                <w:color w:val="#000000"/>
                <w:sz w:val="24"/>
                <w:szCs w:val="24"/>
              </w:rPr>
              <w:t> Обсуждение результатов изучения навыков чтения школьников начальных классов.</w:t>
            </w:r>
          </w:p>
          <w:p>
            <w:pPr>
              <w:jc w:val="both"/>
              <w:spacing w:after="0" w:line="240" w:lineRule="auto"/>
              <w:rPr>
                <w:sz w:val="24"/>
                <w:szCs w:val="24"/>
              </w:rPr>
            </w:pPr>
            <w:r>
              <w:rPr>
                <w:rFonts w:ascii="Times New Roman" w:hAnsi="Times New Roman" w:cs="Times New Roman"/>
                <w:color w:val="#000000"/>
                <w:sz w:val="24"/>
                <w:szCs w:val="24"/>
              </w:rPr>
              <w:t> Выбор текстов для проведения обследования навыков чтения школьников 1-4-х классов.</w:t>
            </w:r>
          </w:p>
          <w:p>
            <w:pPr>
              <w:jc w:val="both"/>
              <w:spacing w:after="0" w:line="240" w:lineRule="auto"/>
              <w:rPr>
                <w:sz w:val="24"/>
                <w:szCs w:val="24"/>
              </w:rPr>
            </w:pPr>
            <w:r>
              <w:rPr>
                <w:rFonts w:ascii="Times New Roman" w:hAnsi="Times New Roman" w:cs="Times New Roman"/>
                <w:color w:val="#000000"/>
                <w:sz w:val="24"/>
                <w:szCs w:val="24"/>
              </w:rPr>
              <w:t> Наблюдение за обследованием техники чтения в классе. Заполнение протоколов обследо- вания навыков чтения учащихся различных классов (1 - 4-х).</w:t>
            </w:r>
          </w:p>
          <w:p>
            <w:pPr>
              <w:jc w:val="both"/>
              <w:spacing w:after="0" w:line="240" w:lineRule="auto"/>
              <w:rPr>
                <w:sz w:val="24"/>
                <w:szCs w:val="24"/>
              </w:rPr>
            </w:pPr>
            <w:r>
              <w:rPr>
                <w:rFonts w:ascii="Times New Roman" w:hAnsi="Times New Roman" w:cs="Times New Roman"/>
                <w:color w:val="#000000"/>
                <w:sz w:val="24"/>
                <w:szCs w:val="24"/>
              </w:rPr>
              <w:t> Обсуждение результатов изучения навыков чтения школьников начальных классов.</w:t>
            </w:r>
          </w:p>
          <w:p>
            <w:pPr>
              <w:jc w:val="both"/>
              <w:spacing w:after="0" w:line="240" w:lineRule="auto"/>
              <w:rPr>
                <w:sz w:val="24"/>
                <w:szCs w:val="24"/>
              </w:rPr>
            </w:pPr>
            <w:r>
              <w:rPr>
                <w:rFonts w:ascii="Times New Roman" w:hAnsi="Times New Roman" w:cs="Times New Roman"/>
                <w:color w:val="#000000"/>
                <w:sz w:val="24"/>
                <w:szCs w:val="24"/>
              </w:rPr>
              <w:t> Выбор текстов для проведения обследования навыков чтения школьников 1- 4-х классов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и психолого-лингвистические предпосылки овладения письмом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чтения.</w:t>
            </w:r>
          </w:p>
          <w:p>
            <w:pPr>
              <w:jc w:val="both"/>
              <w:spacing w:after="0" w:line="240" w:lineRule="auto"/>
              <w:rPr>
                <w:sz w:val="24"/>
                <w:szCs w:val="24"/>
              </w:rPr>
            </w:pPr>
            <w:r>
              <w:rPr>
                <w:rFonts w:ascii="Times New Roman" w:hAnsi="Times New Roman" w:cs="Times New Roman"/>
                <w:color w:val="#000000"/>
                <w:sz w:val="24"/>
                <w:szCs w:val="24"/>
              </w:rPr>
              <w:t> 2.	Ступени становления навыка чтения у детей (по Т.Г. Егорову).</w:t>
            </w:r>
          </w:p>
          <w:p>
            <w:pPr>
              <w:jc w:val="both"/>
              <w:spacing w:after="0" w:line="240" w:lineRule="auto"/>
              <w:rPr>
                <w:sz w:val="24"/>
                <w:szCs w:val="24"/>
              </w:rPr>
            </w:pPr>
            <w:r>
              <w:rPr>
                <w:rFonts w:ascii="Times New Roman" w:hAnsi="Times New Roman" w:cs="Times New Roman"/>
                <w:color w:val="#000000"/>
                <w:sz w:val="24"/>
                <w:szCs w:val="24"/>
              </w:rPr>
              <w:t> 3.	Взаимоотношение между технической и смысловой сторонами чтения в процессе его становления.</w:t>
            </w:r>
          </w:p>
          <w:p>
            <w:pPr>
              <w:jc w:val="both"/>
              <w:spacing w:after="0" w:line="240" w:lineRule="auto"/>
              <w:rPr>
                <w:sz w:val="24"/>
                <w:szCs w:val="24"/>
              </w:rPr>
            </w:pPr>
            <w:r>
              <w:rPr>
                <w:rFonts w:ascii="Times New Roman" w:hAnsi="Times New Roman" w:cs="Times New Roman"/>
                <w:color w:val="#000000"/>
                <w:sz w:val="24"/>
                <w:szCs w:val="24"/>
              </w:rPr>
              <w:t> 4.	Условия формирования навыков чтения и письма в норме.</w:t>
            </w:r>
          </w:p>
          <w:p>
            <w:pPr>
              <w:jc w:val="both"/>
              <w:spacing w:after="0" w:line="240" w:lineRule="auto"/>
              <w:rPr>
                <w:sz w:val="24"/>
                <w:szCs w:val="24"/>
              </w:rPr>
            </w:pPr>
            <w:r>
              <w:rPr>
                <w:rFonts w:ascii="Times New Roman" w:hAnsi="Times New Roman" w:cs="Times New Roman"/>
                <w:color w:val="#000000"/>
                <w:sz w:val="24"/>
                <w:szCs w:val="24"/>
              </w:rPr>
              <w:t> 5.	Основные характеристики письменной деятельности, психологические и психолингвистические предпосылки становления этого вида речи.</w:t>
            </w:r>
          </w:p>
          <w:p>
            <w:pPr>
              <w:jc w:val="both"/>
              <w:spacing w:after="0" w:line="240" w:lineRule="auto"/>
              <w:rPr>
                <w:sz w:val="24"/>
                <w:szCs w:val="24"/>
              </w:rPr>
            </w:pPr>
            <w:r>
              <w:rPr>
                <w:rFonts w:ascii="Times New Roman" w:hAnsi="Times New Roman" w:cs="Times New Roman"/>
                <w:color w:val="#000000"/>
                <w:sz w:val="24"/>
                <w:szCs w:val="24"/>
              </w:rPr>
              <w:t> 6.	Основные характеристики письменной деятельности, психологические и психолингвистические предпосылки становления этого вида речи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Классификации и симптоматика нарушений письменной речи у младших школьников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нарушения письма у детей с нарушениями речи и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2.	Дисграфия при билингвизме.</w:t>
            </w:r>
          </w:p>
          <w:p>
            <w:pPr>
              <w:jc w:val="both"/>
              <w:spacing w:after="0" w:line="240" w:lineRule="auto"/>
              <w:rPr>
                <w:sz w:val="24"/>
                <w:szCs w:val="24"/>
              </w:rPr>
            </w:pPr>
            <w:r>
              <w:rPr>
                <w:rFonts w:ascii="Times New Roman" w:hAnsi="Times New Roman" w:cs="Times New Roman"/>
                <w:color w:val="#000000"/>
                <w:sz w:val="24"/>
                <w:szCs w:val="24"/>
              </w:rPr>
              <w:t> 3.	Клиническая и психолого-педагогическая характеристика детей с нарушениями письма.</w:t>
            </w:r>
          </w:p>
          <w:p>
            <w:pPr>
              <w:jc w:val="both"/>
              <w:spacing w:after="0" w:line="240" w:lineRule="auto"/>
              <w:rPr>
                <w:sz w:val="24"/>
                <w:szCs w:val="24"/>
              </w:rPr>
            </w:pPr>
            <w:r>
              <w:rPr>
                <w:rFonts w:ascii="Times New Roman" w:hAnsi="Times New Roman" w:cs="Times New Roman"/>
                <w:color w:val="#000000"/>
                <w:sz w:val="24"/>
                <w:szCs w:val="24"/>
              </w:rPr>
              <w:t> 4.	Нарушения памяти и нарушения письма.</w:t>
            </w:r>
          </w:p>
          <w:p>
            <w:pPr>
              <w:jc w:val="both"/>
              <w:spacing w:after="0" w:line="240" w:lineRule="auto"/>
              <w:rPr>
                <w:sz w:val="24"/>
                <w:szCs w:val="24"/>
              </w:rPr>
            </w:pPr>
            <w:r>
              <w:rPr>
                <w:rFonts w:ascii="Times New Roman" w:hAnsi="Times New Roman" w:cs="Times New Roman"/>
                <w:color w:val="#000000"/>
                <w:sz w:val="24"/>
                <w:szCs w:val="24"/>
              </w:rPr>
              <w:t> 5.	Нарушения зрительно-пространственной ориентировки и нарушения письма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логопедической работы по коррекции аграмматической дисграфии в условиях логопедического пункта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и заполнение речевых карт учащихся.</w:t>
            </w:r>
          </w:p>
          <w:p>
            <w:pPr>
              <w:jc w:val="both"/>
              <w:spacing w:after="0" w:line="240" w:lineRule="auto"/>
              <w:rPr>
                <w:sz w:val="24"/>
                <w:szCs w:val="24"/>
              </w:rPr>
            </w:pPr>
            <w:r>
              <w:rPr>
                <w:rFonts w:ascii="Times New Roman" w:hAnsi="Times New Roman" w:cs="Times New Roman"/>
                <w:color w:val="#000000"/>
                <w:sz w:val="24"/>
                <w:szCs w:val="24"/>
              </w:rPr>
              <w:t> Составление конспектов занятий по преодолению артикуляторно-акустической дисграфии и дисграфии на основе нарушений фонемного распознавания</w:t>
            </w:r>
          </w:p>
          <w:p>
            <w:pPr>
              <w:jc w:val="both"/>
              <w:spacing w:after="0" w:line="240" w:lineRule="auto"/>
              <w:rPr>
                <w:sz w:val="24"/>
                <w:szCs w:val="24"/>
              </w:rPr>
            </w:pPr>
            <w:r>
              <w:rPr>
                <w:rFonts w:ascii="Times New Roman" w:hAnsi="Times New Roman" w:cs="Times New Roman"/>
                <w:color w:val="#000000"/>
                <w:sz w:val="24"/>
                <w:szCs w:val="24"/>
              </w:rPr>
              <w:t>  Составление конспектов занятий по преодолению аграмматической дисграфии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«Аграмматическая дисграфия у обучающихся с ТНР» / О.А. Таротенко.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связной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ЗПР.</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http://www.iprbookshop.ru/79786.html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Дисграфия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дизорфография.</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сказки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Ивановской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Дисграфия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дизорфография.</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сказки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http://www.iprbookshop.ru/86686.html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Поварова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https://urait.ru/bcode/428512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Божедомова,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Бровина,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Коробкина,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Мигурская,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Сорочинская,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Сумченко,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Ульянцева,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978-5-9925-1415-5.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http://www.iprbookshop.ru/97941.html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Тылевич,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Пранцкунас,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Лунева,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Шейнцвит,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Сорочинская,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http://www.iprbookshop.ru/97942.html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88.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2023-2024_ФГОС3++2023_Бак-ОФО-СДО(Логопедия)(23)_plx_Аграмматическая дисграфия у обучающихся с ТНР</dc:title>
  <dc:creator>FastReport.NET</dc:creator>
</cp:coreProperties>
</file>